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April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27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 Year-end reports must be submitted in writing before final honoraria can be approved.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Students in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istress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rant Bill - detailed plan shared by Hari and Fallen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Budget and planning of AGM on May 11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Audit operation in DAGS - For operation transparency, consolidate individual officer's reports and expenses report and make them available in menu at DAGS website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Open table for discussion regarding the governance committee and inputs for potential revisions to bylaws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Election updates by CRO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Perri Tutelman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Nicole MacKenzie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Yvonne Brandelli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Julia Koppernaes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