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Council Meeting: Tuesday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November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16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CALL TO ORDER</w:t>
      </w:r>
      <w:r>
        <w:rPr>
          <w:rFonts w:ascii="Quattrocento Sans" w:cs="Quattrocento Sans" w:hAnsi="Quattrocento Sans" w:eastAsia="Quattrocento Sans"/>
          <w:rtl w:val="0"/>
        </w:rPr>
        <w:t xml:space="preserve"> </w:t>
      </w:r>
      <w:r>
        <w:rPr>
          <w:rFonts w:ascii="Quattrocento Sans" w:cs="Quattrocento Sans" w:hAnsi="Quattrocento Sans" w:eastAsia="Quattrocento Sans"/>
          <w:rtl w:val="0"/>
          <w:lang w:val="en-US"/>
        </w:rPr>
        <w:t>3:08pm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APPROVAL OF SECRETARY (Fallen/Mohammad)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rtl w:val="0"/>
          <w:lang w:val="es-ES_tradnl"/>
        </w:rPr>
        <w:t xml:space="preserve">PRESENT </w:t>
      </w:r>
      <w:r>
        <w:rPr>
          <w:rFonts w:ascii="Calibri" w:cs="Calibri" w:hAnsi="Calibri" w:eastAsia="Calibri"/>
          <w:rtl w:val="0"/>
          <w:lang w:val="en-US"/>
        </w:rPr>
        <w:t xml:space="preserve">Alireza Ghadamgahi - DAGS Director of Architecture and Planning; Fallen Matthews - DAGS VPSL; Mireya Cervantes Gonzalez - VP Admin DBES; Hariprashanth </w:t>
      </w:r>
      <w:r>
        <w:rPr>
          <w:rFonts w:ascii="Calibri" w:cs="Calibri" w:hAnsi="Calibri" w:eastAsia="Calibri"/>
          <w:rtl w:val="0"/>
          <w:lang w:val="es-ES_tradnl"/>
        </w:rPr>
        <w:t>Deivasigaman</w:t>
      </w:r>
      <w:r>
        <w:rPr>
          <w:rFonts w:ascii="Calibri" w:cs="Calibri" w:hAnsi="Calibri" w:eastAsia="Calibri"/>
          <w:rtl w:val="0"/>
          <w:lang w:val="en-US"/>
        </w:rPr>
        <w:t xml:space="preserve"> - DAGS VPA; Tiffany - Guest; Office Coordinator; </w:t>
      </w:r>
      <w:r>
        <w:rPr>
          <w:rFonts w:ascii="Calibri" w:cs="Calibri" w:hAnsi="Calibri" w:eastAsia="Calibri"/>
          <w:rtl w:val="0"/>
          <w:lang w:val="es-ES_tradnl"/>
        </w:rPr>
        <w:t>Mohammad Ramezani</w:t>
      </w:r>
      <w:r>
        <w:rPr>
          <w:rFonts w:ascii="Calibri" w:cs="Calibri" w:hAnsi="Calibri" w:eastAsia="Calibri"/>
          <w:rtl w:val="0"/>
          <w:lang w:val="en-US"/>
        </w:rPr>
        <w:t xml:space="preserve"> - DAGS VPFO; Michael Cormier; Gabriella Luongo.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APPROVAL OF AGENDA (Fallen/Alireza)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APPROVAL OF PREVIOUS DAGS COUNCIL MEETING MINUTES (Fallen/Alireza)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OLD BUSINESS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DAGS Executive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Fallen gave the VPSL update.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Mohammad gave the VPFO update.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Motion to appoint Ankit Bajaj as the interim DAGS president (Fallen/Alireza)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DSU Graduate Rep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There was no one available to give an update.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DAGS By-</w:t>
      </w:r>
      <w:r>
        <w:rPr>
          <w:rFonts w:ascii="Calibri" w:cs="Calibri" w:hAnsi="Calibri" w:eastAsia="Calibri"/>
          <w:rtl w:val="0"/>
          <w:lang w:val="fr-FR"/>
        </w:rPr>
        <w:t>Election</w:t>
      </w:r>
      <w:r>
        <w:rPr>
          <w:rFonts w:ascii="Calibri" w:cs="Calibri" w:hAnsi="Calibri" w:eastAsia="Calibri"/>
          <w:rtl w:val="0"/>
          <w:lang w:val="en-US"/>
        </w:rPr>
        <w:t xml:space="preserve"> Timeline 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executive will meet separately and bring their plan to the following council meeting.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Grant Approvals: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Julia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</w:rPr>
        <w:t>Koppernaes</w:t>
      </w:r>
      <w:r>
        <w:rPr>
          <w:rFonts w:ascii="Calibri" w:cs="Calibri" w:hAnsi="Calibri" w:eastAsia="Calibri"/>
          <w:rtl w:val="0"/>
          <w:lang w:val="en-US"/>
        </w:rPr>
        <w:t xml:space="preserve"> - Approved.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Senate Caucus Updates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There was no one available to give an update.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Faculty Council EDI and Academic Appeals Positions Available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These positions are still available.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Tiffany discussion on Dalhousie's Grad Funding Payment System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Tiffany relayed: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Dalhousie's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en-US"/>
        </w:rPr>
        <w:t>external and internal scholarship funding is paid out on a term-by-term basis and is managed by FGS. They deduct the amount of program fees and divide the remainder into four disbursements, paid out on the 27 of those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en-US"/>
        </w:rPr>
        <w:t xml:space="preserve">months. Waiting until the 27th seems arbitrary, and receiving lump-sum payments at the beginning of the year would be more helpful to many students facing financial hardships. 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issue that students are not able to apply for funding until their second year</w:t>
      </w:r>
    </w:p>
    <w:p>
      <w:pPr>
        <w:pStyle w:val="Body A"/>
        <w:numPr>
          <w:ilvl w:val="3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matter of capping funding at $6666/term for Masters and $10,000/term for PhD. Students can receive more than that, but only if a single external award funds them to a higher degreeTiffany asks whether DAGS could lease with FGS to open a review on these policies.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The Office Coordinator will send an email connecting Tiffany, Pooyan, Alireza, and Ankit to begin discussing the next steps. 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